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6110" w14:textId="77777777" w:rsidR="006D7013" w:rsidRDefault="006D701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B189DFE" w14:textId="77777777" w:rsidR="006D7013" w:rsidRDefault="006D7013">
      <w:pPr>
        <w:pStyle w:val="ConsPlusNormal"/>
        <w:jc w:val="both"/>
        <w:outlineLvl w:val="0"/>
      </w:pPr>
    </w:p>
    <w:p w14:paraId="7A720AC9" w14:textId="77777777" w:rsidR="006D7013" w:rsidRDefault="006D7013">
      <w:pPr>
        <w:pStyle w:val="ConsPlusTitle"/>
        <w:jc w:val="center"/>
      </w:pPr>
      <w:r>
        <w:t>АДМИНИСТРАЦИЯ ГОРОДА ПЯТИГОРСКА</w:t>
      </w:r>
    </w:p>
    <w:p w14:paraId="0414C86B" w14:textId="77777777" w:rsidR="006D7013" w:rsidRDefault="006D7013">
      <w:pPr>
        <w:pStyle w:val="ConsPlusTitle"/>
        <w:jc w:val="center"/>
      </w:pPr>
      <w:r>
        <w:t>СТАВРОПОЛЬСКОГО КРАЯ</w:t>
      </w:r>
    </w:p>
    <w:p w14:paraId="2C596D0A" w14:textId="77777777" w:rsidR="006D7013" w:rsidRDefault="006D7013">
      <w:pPr>
        <w:pStyle w:val="ConsPlusTitle"/>
        <w:jc w:val="both"/>
      </w:pPr>
    </w:p>
    <w:p w14:paraId="7DB8ED00" w14:textId="77777777" w:rsidR="006D7013" w:rsidRDefault="006D7013">
      <w:pPr>
        <w:pStyle w:val="ConsPlusTitle"/>
        <w:jc w:val="center"/>
      </w:pPr>
      <w:r>
        <w:t>ПОСТАНОВЛЕНИЕ</w:t>
      </w:r>
    </w:p>
    <w:p w14:paraId="3A690712" w14:textId="77777777" w:rsidR="006D7013" w:rsidRDefault="006D7013">
      <w:pPr>
        <w:pStyle w:val="ConsPlusTitle"/>
        <w:jc w:val="center"/>
      </w:pPr>
      <w:r>
        <w:t>от 30 августа 2023 г. N 3232</w:t>
      </w:r>
    </w:p>
    <w:p w14:paraId="6A4110EF" w14:textId="77777777" w:rsidR="006D7013" w:rsidRDefault="006D7013">
      <w:pPr>
        <w:pStyle w:val="ConsPlusTitle"/>
        <w:jc w:val="both"/>
      </w:pPr>
    </w:p>
    <w:p w14:paraId="5D338108" w14:textId="77777777" w:rsidR="006D7013" w:rsidRDefault="006D7013">
      <w:pPr>
        <w:pStyle w:val="ConsPlusTitle"/>
        <w:jc w:val="center"/>
      </w:pPr>
      <w:r>
        <w:t>О ВНЕСЕНИИ ИЗМЕНЕНИЙ В ПРАВИЛА ЗЕМЛЕПОЛЬЗОВАНИЯ И ЗАСТРОЙКИ</w:t>
      </w:r>
    </w:p>
    <w:p w14:paraId="1BE9F271" w14:textId="77777777" w:rsidR="006D7013" w:rsidRDefault="006D7013">
      <w:pPr>
        <w:pStyle w:val="ConsPlusTitle"/>
        <w:jc w:val="center"/>
      </w:pPr>
      <w:r>
        <w:t>МУНИЦИПАЛЬНОГО ОБРАЗОВАНИЯ ГОРОДА-КУРОРТА ПЯТИГОРСКА,</w:t>
      </w:r>
    </w:p>
    <w:p w14:paraId="7906870E" w14:textId="77777777" w:rsidR="006D7013" w:rsidRDefault="006D7013">
      <w:pPr>
        <w:pStyle w:val="ConsPlusTitle"/>
        <w:jc w:val="center"/>
      </w:pPr>
      <w:r>
        <w:t>УТВЕРЖДЕННЫЕ ПОСТАНОВЛЕНИЕМ АДМИНИСТРАЦИИ ГОРОДА ПЯТИГОРСКА</w:t>
      </w:r>
    </w:p>
    <w:p w14:paraId="0A781229" w14:textId="77777777" w:rsidR="006D7013" w:rsidRDefault="006D7013">
      <w:pPr>
        <w:pStyle w:val="ConsPlusTitle"/>
        <w:jc w:val="center"/>
      </w:pPr>
      <w:r>
        <w:t>ОТ 09.11.2021 N 4244, С УЧЕТОМ ВНЕСЕННЫХ В НИХ ИЗМЕНЕНИЙ</w:t>
      </w:r>
    </w:p>
    <w:p w14:paraId="3B5D5BED" w14:textId="77777777" w:rsidR="006D7013" w:rsidRDefault="006D7013">
      <w:pPr>
        <w:pStyle w:val="ConsPlusNormal"/>
        <w:jc w:val="both"/>
      </w:pPr>
    </w:p>
    <w:p w14:paraId="079C734F" w14:textId="77777777" w:rsidR="006D7013" w:rsidRDefault="006D7013">
      <w:pPr>
        <w:pStyle w:val="ConsPlusNormal"/>
        <w:ind w:firstLine="540"/>
        <w:jc w:val="both"/>
      </w:pPr>
      <w:r>
        <w:t xml:space="preserve">В соответствии с Градостроительным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 октября 2003 года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29 декабря 2022 года N 612-ФЗ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</w:t>
      </w:r>
      <w:hyperlink r:id="rId8">
        <w:r>
          <w:rPr>
            <w:color w:val="0000FF"/>
          </w:rPr>
          <w:t>Уставом</w:t>
        </w:r>
      </w:hyperlink>
      <w:r>
        <w:t xml:space="preserve"> муниципального образования города-курорта Пятигорска постановляю:</w:t>
      </w:r>
    </w:p>
    <w:p w14:paraId="180059DF" w14:textId="77777777" w:rsidR="006D7013" w:rsidRDefault="006D7013">
      <w:pPr>
        <w:pStyle w:val="ConsPlusNormal"/>
        <w:jc w:val="both"/>
      </w:pPr>
    </w:p>
    <w:p w14:paraId="60846E04" w14:textId="77777777" w:rsidR="006D7013" w:rsidRDefault="006D7013">
      <w:pPr>
        <w:pStyle w:val="ConsPlusNormal"/>
        <w:ind w:firstLine="540"/>
        <w:jc w:val="both"/>
      </w:pPr>
      <w:r>
        <w:t xml:space="preserve">1. Внести в </w:t>
      </w:r>
      <w:hyperlink r:id="rId9">
        <w:r>
          <w:rPr>
            <w:color w:val="0000FF"/>
          </w:rPr>
          <w:t>Правила</w:t>
        </w:r>
      </w:hyperlink>
      <w:r>
        <w:t xml:space="preserve"> землепользования и застройки муниципального образования города-курорта Пятигорска, утвержденные постановлением администрации города Пятигорска от 09.11.2021 N 4244, с учетом ранее внесенных изменений постановлениями администрации города Пятигорска от 14.12.2021 N 4698, от 13.04.2022 N 1156, от 29.08.2022 N 3305, от 28.06.2023 N 2220, следующие изменения.</w:t>
      </w:r>
    </w:p>
    <w:p w14:paraId="537D7D86" w14:textId="77777777" w:rsidR="006D7013" w:rsidRDefault="006D7013">
      <w:pPr>
        <w:pStyle w:val="ConsPlusNonformat"/>
        <w:spacing w:before="200"/>
        <w:jc w:val="both"/>
      </w:pPr>
      <w:r>
        <w:t xml:space="preserve">    1.1. Дополнить </w:t>
      </w:r>
      <w:hyperlink r:id="rId10">
        <w:r>
          <w:rPr>
            <w:color w:val="0000FF"/>
          </w:rPr>
          <w:t>Главу 6</w:t>
        </w:r>
      </w:hyperlink>
      <w:r>
        <w:t>. "Регулирование иных вопросов землепользования и</w:t>
      </w:r>
    </w:p>
    <w:p w14:paraId="10455101" w14:textId="77777777" w:rsidR="006D7013" w:rsidRDefault="006D7013">
      <w:pPr>
        <w:pStyle w:val="ConsPlusNonformat"/>
        <w:jc w:val="both"/>
      </w:pPr>
      <w:r>
        <w:t xml:space="preserve">                                                 1</w:t>
      </w:r>
    </w:p>
    <w:p w14:paraId="4E41463D" w14:textId="77777777" w:rsidR="006D7013" w:rsidRDefault="006D7013">
      <w:pPr>
        <w:pStyle w:val="ConsPlusNonformat"/>
        <w:jc w:val="both"/>
      </w:pPr>
      <w:r>
        <w:t xml:space="preserve">застройки в городе-курорте Пятигорске" статьей </w:t>
      </w:r>
      <w:proofErr w:type="gramStart"/>
      <w:r>
        <w:t>17  следующего</w:t>
      </w:r>
      <w:proofErr w:type="gramEnd"/>
      <w:r>
        <w:t xml:space="preserve"> содержания:</w:t>
      </w:r>
    </w:p>
    <w:p w14:paraId="393078D0" w14:textId="77777777" w:rsidR="006D7013" w:rsidRDefault="006D7013">
      <w:pPr>
        <w:pStyle w:val="ConsPlusNonformat"/>
        <w:jc w:val="both"/>
      </w:pPr>
    </w:p>
    <w:p w14:paraId="1397978F" w14:textId="77777777" w:rsidR="006D7013" w:rsidRDefault="006D7013">
      <w:pPr>
        <w:pStyle w:val="ConsPlusNonformat"/>
        <w:jc w:val="both"/>
      </w:pPr>
      <w:r>
        <w:t xml:space="preserve">              1</w:t>
      </w:r>
    </w:p>
    <w:p w14:paraId="399E142E" w14:textId="77777777" w:rsidR="006D7013" w:rsidRDefault="006D7013">
      <w:pPr>
        <w:pStyle w:val="ConsPlusNonformat"/>
        <w:jc w:val="both"/>
      </w:pPr>
      <w:r>
        <w:t xml:space="preserve">    "Статья </w:t>
      </w:r>
      <w:proofErr w:type="gramStart"/>
      <w:r>
        <w:t>17 .</w:t>
      </w:r>
      <w:proofErr w:type="gramEnd"/>
      <w:r>
        <w:t xml:space="preserve"> Архитектурно-градостроительный облик объектов капитального</w:t>
      </w:r>
    </w:p>
    <w:p w14:paraId="0078EA47" w14:textId="77777777" w:rsidR="006D7013" w:rsidRDefault="006D7013">
      <w:pPr>
        <w:pStyle w:val="ConsPlusNonformat"/>
        <w:jc w:val="both"/>
      </w:pPr>
      <w:r>
        <w:t>строительства</w:t>
      </w:r>
    </w:p>
    <w:p w14:paraId="39C056CC" w14:textId="77777777" w:rsidR="006D7013" w:rsidRDefault="006D7013">
      <w:pPr>
        <w:pStyle w:val="ConsPlusNormal"/>
        <w:jc w:val="both"/>
      </w:pPr>
    </w:p>
    <w:p w14:paraId="22CEA202" w14:textId="77777777" w:rsidR="006D7013" w:rsidRDefault="006D7013">
      <w:pPr>
        <w:pStyle w:val="ConsPlusNormal"/>
        <w:ind w:firstLine="540"/>
        <w:jc w:val="both"/>
      </w:pPr>
      <w:r>
        <w:t xml:space="preserve">1. Требования к архитектурно-градостроительному облику объекта капитального строительства 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Федерации, если иное не предусмотрено Градостроительным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6C29FA1F" w14:textId="77777777" w:rsidR="006D7013" w:rsidRDefault="006D7013">
      <w:pPr>
        <w:pStyle w:val="ConsPlusNormal"/>
        <w:spacing w:before="220"/>
        <w:ind w:firstLine="540"/>
        <w:jc w:val="both"/>
      </w:pPr>
      <w:r>
        <w:t>2. Архитектурно-градостроительный облик объектов капитального строительства подлежит согласованию при осуществлении строительства, реконструкции объекта капитального строительства, в границах территорий, в отношении которой предусматриваются требования к архитектурно-градостроительному облику объектов капитального строительства.</w:t>
      </w:r>
    </w:p>
    <w:p w14:paraId="216D5779" w14:textId="77777777" w:rsidR="006D7013" w:rsidRDefault="006D7013">
      <w:pPr>
        <w:pStyle w:val="ConsPlusNormal"/>
        <w:spacing w:before="220"/>
        <w:ind w:firstLine="540"/>
        <w:jc w:val="both"/>
      </w:pPr>
      <w:r>
        <w:t>Территории, в границах которых предусматриваются требования к архитектурно-градостроительному облику объектов капитального строительства отображаются на отдельной карте. Границы таких территорий могут не совпадать с границами территориальных зон.</w:t>
      </w:r>
    </w:p>
    <w:p w14:paraId="7AC1791F" w14:textId="77777777" w:rsidR="006D7013" w:rsidRDefault="006D7013">
      <w:pPr>
        <w:pStyle w:val="ConsPlusNormal"/>
        <w:spacing w:before="220"/>
        <w:ind w:firstLine="540"/>
        <w:jc w:val="both"/>
      </w:pPr>
      <w:r>
        <w:t>3. Согласование архитектурно-градостроительного облика объекта капитального строительства не требуется в отношении:</w:t>
      </w:r>
    </w:p>
    <w:p w14:paraId="6B5094FE" w14:textId="77777777" w:rsidR="006D7013" w:rsidRDefault="006D7013">
      <w:pPr>
        <w:pStyle w:val="ConsPlusNormal"/>
        <w:spacing w:before="220"/>
        <w:ind w:firstLine="540"/>
        <w:jc w:val="both"/>
      </w:pPr>
      <w: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14:paraId="0D70C27F" w14:textId="77777777" w:rsidR="006D7013" w:rsidRDefault="006D7013">
      <w:pPr>
        <w:pStyle w:val="ConsPlusNormal"/>
        <w:spacing w:before="220"/>
        <w:ind w:firstLine="540"/>
        <w:jc w:val="both"/>
      </w:pPr>
      <w:r>
        <w:lastRenderedPageBreak/>
        <w:t>объектов, для строительства или реконструкции которых не требуется получение разрешения на строительство;</w:t>
      </w:r>
    </w:p>
    <w:p w14:paraId="39E23D1B" w14:textId="77777777" w:rsidR="006D7013" w:rsidRDefault="006D7013">
      <w:pPr>
        <w:pStyle w:val="ConsPlusNormal"/>
        <w:spacing w:before="220"/>
        <w:ind w:firstLine="540"/>
        <w:jc w:val="both"/>
      </w:pPr>
      <w:r>
        <w:t>объектов, расположенных на земельных участках, находящихся в пользовании учреждений, исполняющих наказание;</w:t>
      </w:r>
    </w:p>
    <w:p w14:paraId="374F0CC6" w14:textId="77777777" w:rsidR="006D7013" w:rsidRDefault="006D7013">
      <w:pPr>
        <w:pStyle w:val="ConsPlusNormal"/>
        <w:spacing w:before="220"/>
        <w:ind w:firstLine="540"/>
        <w:jc w:val="both"/>
      </w:pPr>
      <w:r>
        <w:t>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14:paraId="6EA9EB35" w14:textId="77777777" w:rsidR="006D7013" w:rsidRDefault="006D7013">
      <w:pPr>
        <w:pStyle w:val="ConsPlusNormal"/>
        <w:spacing w:before="220"/>
        <w:ind w:firstLine="540"/>
        <w:jc w:val="both"/>
      </w:pPr>
      <w:r>
        <w:t>иных объектов, определенных Правительством Российской Федерации, нормативными правовыми актами органов государственной власти Ставропольского края.</w:t>
      </w:r>
    </w:p>
    <w:p w14:paraId="07B143F2" w14:textId="77777777" w:rsidR="006D7013" w:rsidRDefault="006D7013">
      <w:pPr>
        <w:pStyle w:val="ConsPlusNormal"/>
        <w:spacing w:before="220"/>
        <w:ind w:firstLine="540"/>
        <w:jc w:val="both"/>
      </w:pPr>
      <w:r>
        <w:t>4.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 требования к архитектурно-градостроительному облику объектов капитального строительства.</w:t>
      </w:r>
    </w:p>
    <w:p w14:paraId="36885FC6" w14:textId="77777777" w:rsidR="006D7013" w:rsidRDefault="006D7013">
      <w:pPr>
        <w:pStyle w:val="ConsPlusNormal"/>
        <w:spacing w:before="220"/>
        <w:ind w:firstLine="540"/>
        <w:jc w:val="both"/>
      </w:pPr>
      <w:r>
        <w:t>5. Срок выдачи согласования архитектурно-градостроительного облика объекта капитального строительства не может превышать десять рабочих дней.</w:t>
      </w:r>
    </w:p>
    <w:p w14:paraId="28CF0600" w14:textId="77777777" w:rsidR="006D7013" w:rsidRDefault="006D7013">
      <w:pPr>
        <w:pStyle w:val="ConsPlusNormal"/>
        <w:spacing w:before="220"/>
        <w:ind w:firstLine="540"/>
        <w:jc w:val="both"/>
      </w:pPr>
      <w:r>
        <w:t>6. Основанием для отказа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14:paraId="2925E406" w14:textId="77777777" w:rsidR="006D7013" w:rsidRDefault="006D7013">
      <w:pPr>
        <w:pStyle w:val="ConsPlusNormal"/>
        <w:spacing w:before="220"/>
        <w:ind w:firstLine="540"/>
        <w:jc w:val="both"/>
      </w:pPr>
      <w:r>
        <w:t xml:space="preserve">7. Порядок согласования архитектурно-градостроительного облика объекта капитального строительства устанавливается Правительством Российской Федерации, если иное не предусмотрено Градостроительным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14:paraId="2DA99299" w14:textId="77777777" w:rsidR="006D7013" w:rsidRDefault="006D7013">
      <w:pPr>
        <w:pStyle w:val="ConsPlusNormal"/>
        <w:spacing w:before="220"/>
        <w:ind w:firstLine="540"/>
        <w:jc w:val="both"/>
      </w:pPr>
      <w:r>
        <w:t xml:space="preserve">1.2. В </w:t>
      </w:r>
      <w:hyperlink r:id="rId13">
        <w:r>
          <w:rPr>
            <w:color w:val="0000FF"/>
          </w:rPr>
          <w:t>статье 20</w:t>
        </w:r>
      </w:hyperlink>
      <w:r>
        <w:t xml:space="preserve"> пункты:</w:t>
      </w:r>
    </w:p>
    <w:p w14:paraId="5D69B7F2" w14:textId="77777777" w:rsidR="006D7013" w:rsidRDefault="006D7013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1.1</w:t>
        </w:r>
      </w:hyperlink>
      <w:r>
        <w:t>. "Ж-1" Для индивидуального жилищного строительства;</w:t>
      </w:r>
    </w:p>
    <w:p w14:paraId="3BC299E1" w14:textId="77777777" w:rsidR="006D7013" w:rsidRDefault="006D7013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1.2</w:t>
        </w:r>
      </w:hyperlink>
      <w:r>
        <w:t>. "Ж-2" Малоэтажная многоквартирная жилая застройка;</w:t>
      </w:r>
    </w:p>
    <w:p w14:paraId="339613D9" w14:textId="77777777" w:rsidR="006D7013" w:rsidRDefault="006D7013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1.3</w:t>
        </w:r>
      </w:hyperlink>
      <w:r>
        <w:t>. "Ж-3" Среднеэтажная жилая застройка;</w:t>
      </w:r>
    </w:p>
    <w:p w14:paraId="1F842DC5" w14:textId="77777777" w:rsidR="006D7013" w:rsidRDefault="006D7013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1.4</w:t>
        </w:r>
      </w:hyperlink>
      <w:r>
        <w:t>. "Ж-4" Многоэтажная жилая застройка;</w:t>
      </w:r>
    </w:p>
    <w:p w14:paraId="2CDCB26A" w14:textId="77777777" w:rsidR="006D7013" w:rsidRDefault="006D7013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1.5</w:t>
        </w:r>
      </w:hyperlink>
      <w:r>
        <w:t>. "Ж-5" Зона реконструкции существующей жилой застройки;</w:t>
      </w:r>
    </w:p>
    <w:p w14:paraId="29B549CD" w14:textId="77777777" w:rsidR="006D7013" w:rsidRDefault="006D7013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2.1</w:t>
        </w:r>
      </w:hyperlink>
      <w:r>
        <w:t>. "Од" Предпринимательство;</w:t>
      </w:r>
    </w:p>
    <w:p w14:paraId="2ADD0747" w14:textId="77777777" w:rsidR="006D7013" w:rsidRDefault="006D7013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2.2</w:t>
        </w:r>
      </w:hyperlink>
      <w:r>
        <w:t>. "Ос" Общественное использование объектов капитального строительства;</w:t>
      </w:r>
    </w:p>
    <w:p w14:paraId="7C6D0568" w14:textId="77777777" w:rsidR="006D7013" w:rsidRDefault="006D7013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2.3</w:t>
        </w:r>
      </w:hyperlink>
      <w:r>
        <w:t>. "Ко" Религиозное использование;</w:t>
      </w:r>
    </w:p>
    <w:p w14:paraId="7D756615" w14:textId="77777777" w:rsidR="006D7013" w:rsidRDefault="006D7013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3.1</w:t>
        </w:r>
      </w:hyperlink>
      <w:r>
        <w:t>. "П" Производственная деятельность;</w:t>
      </w:r>
    </w:p>
    <w:p w14:paraId="1BDA24D9" w14:textId="77777777" w:rsidR="006D7013" w:rsidRDefault="006D7013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3.2</w:t>
        </w:r>
      </w:hyperlink>
      <w:r>
        <w:t>. "К" Коммунальное обслуживание;</w:t>
      </w:r>
    </w:p>
    <w:p w14:paraId="1AC45DFE" w14:textId="77777777" w:rsidR="006D7013" w:rsidRDefault="006D7013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4.1</w:t>
        </w:r>
      </w:hyperlink>
      <w:r>
        <w:t>. "Т-1" Железнодорожный транспорт;</w:t>
      </w:r>
    </w:p>
    <w:p w14:paraId="7A56A5D9" w14:textId="77777777" w:rsidR="006D7013" w:rsidRDefault="006D7013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4.2</w:t>
        </w:r>
      </w:hyperlink>
      <w:r>
        <w:t>. "ТК" Транспортно-коммунальная;</w:t>
      </w:r>
    </w:p>
    <w:p w14:paraId="69256818" w14:textId="77777777" w:rsidR="006D7013" w:rsidRDefault="006D7013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5.1</w:t>
        </w:r>
      </w:hyperlink>
      <w:r>
        <w:t>. "СХ-1" Сельскохозяйственное использование;</w:t>
      </w:r>
    </w:p>
    <w:p w14:paraId="5B176112" w14:textId="77777777" w:rsidR="006D7013" w:rsidRDefault="006D7013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5.2</w:t>
        </w:r>
      </w:hyperlink>
      <w:r>
        <w:t>. "СХ-2" Ведение садоводства;</w:t>
      </w:r>
    </w:p>
    <w:p w14:paraId="2AF3CF26" w14:textId="77777777" w:rsidR="006D7013" w:rsidRDefault="006D7013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6.1</w:t>
        </w:r>
      </w:hyperlink>
      <w:r>
        <w:t>. "Р-1" Зона отдыха (парки, скверы);</w:t>
      </w:r>
    </w:p>
    <w:p w14:paraId="665EB5F3" w14:textId="77777777" w:rsidR="006D7013" w:rsidRDefault="006D7013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6.2</w:t>
        </w:r>
      </w:hyperlink>
      <w:r>
        <w:t>. "Р-1/2" Зона отдыха (курорта, отдыха, туризма и предпринимательства);</w:t>
      </w:r>
    </w:p>
    <w:p w14:paraId="5A77209D" w14:textId="77777777" w:rsidR="006D7013" w:rsidRDefault="006D7013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6.3</w:t>
        </w:r>
      </w:hyperlink>
      <w:r>
        <w:t>. "Р-2" Рекреация (городские леса);</w:t>
      </w:r>
    </w:p>
    <w:p w14:paraId="272B121C" w14:textId="77777777" w:rsidR="006D7013" w:rsidRDefault="006D7013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6.4</w:t>
        </w:r>
      </w:hyperlink>
      <w:r>
        <w:t>. "Р-3" Курортная деятельность;</w:t>
      </w:r>
    </w:p>
    <w:p w14:paraId="3A62854D" w14:textId="77777777" w:rsidR="006D7013" w:rsidRDefault="006D7013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6.5</w:t>
        </w:r>
      </w:hyperlink>
      <w:r>
        <w:t>. "Р-3/1" Курортная деятельность и существующая жилая застройка;</w:t>
      </w:r>
    </w:p>
    <w:p w14:paraId="70A0BF99" w14:textId="77777777" w:rsidR="006D7013" w:rsidRDefault="006D7013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7.1</w:t>
        </w:r>
      </w:hyperlink>
      <w:r>
        <w:t>. "С-1" Зона обеспечения обороны и безопасности;</w:t>
      </w:r>
    </w:p>
    <w:p w14:paraId="61E34E9C" w14:textId="77777777" w:rsidR="006D7013" w:rsidRDefault="006D7013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7.2</w:t>
        </w:r>
      </w:hyperlink>
      <w:r>
        <w:t>. "С-2" Ритуальная деятельность;</w:t>
      </w:r>
    </w:p>
    <w:p w14:paraId="684BA497" w14:textId="77777777" w:rsidR="006D7013" w:rsidRDefault="006D7013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7.3</w:t>
        </w:r>
      </w:hyperlink>
      <w:r>
        <w:t>. "С-3" Специальная деятельность</w:t>
      </w:r>
    </w:p>
    <w:p w14:paraId="38F6209A" w14:textId="77777777" w:rsidR="006D7013" w:rsidRDefault="006D7013">
      <w:pPr>
        <w:pStyle w:val="ConsPlusNonformat"/>
        <w:spacing w:before="200"/>
        <w:jc w:val="both"/>
      </w:pPr>
      <w:r>
        <w:t xml:space="preserve">                       1</w:t>
      </w:r>
    </w:p>
    <w:p w14:paraId="554D956D" w14:textId="77777777" w:rsidR="006D7013" w:rsidRDefault="006D7013">
      <w:pPr>
        <w:pStyle w:val="ConsPlusNonformat"/>
        <w:jc w:val="both"/>
      </w:pPr>
      <w:r>
        <w:t xml:space="preserve">    </w:t>
      </w:r>
      <w:hyperlink r:id="rId36">
        <w:r>
          <w:rPr>
            <w:color w:val="0000FF"/>
          </w:rPr>
          <w:t>дополнить</w:t>
        </w:r>
      </w:hyperlink>
      <w:r>
        <w:t xml:space="preserve"> пунктом </w:t>
      </w:r>
      <w:proofErr w:type="gramStart"/>
      <w:r>
        <w:t>5  следующего</w:t>
      </w:r>
      <w:proofErr w:type="gramEnd"/>
      <w:r>
        <w:t xml:space="preserve"> содержания:</w:t>
      </w:r>
    </w:p>
    <w:p w14:paraId="1C6A5C81" w14:textId="77777777" w:rsidR="006D7013" w:rsidRDefault="006D7013">
      <w:pPr>
        <w:pStyle w:val="ConsPlusNonformat"/>
        <w:jc w:val="both"/>
      </w:pPr>
      <w:r>
        <w:t xml:space="preserve">      1</w:t>
      </w:r>
    </w:p>
    <w:p w14:paraId="376B758A" w14:textId="77777777" w:rsidR="006D7013" w:rsidRDefault="006D7013">
      <w:pPr>
        <w:pStyle w:val="ConsPlusNonformat"/>
        <w:jc w:val="both"/>
      </w:pPr>
      <w:r>
        <w:t xml:space="preserve">    "</w:t>
      </w:r>
      <w:proofErr w:type="gramStart"/>
      <w:r>
        <w:t>5 .</w:t>
      </w:r>
      <w:proofErr w:type="gramEnd"/>
      <w:r>
        <w:t xml:space="preserve">   Согласование   архитектурно-градостроительного   </w:t>
      </w:r>
      <w:proofErr w:type="gramStart"/>
      <w:r>
        <w:t>облика  объекта</w:t>
      </w:r>
      <w:proofErr w:type="gramEnd"/>
    </w:p>
    <w:p w14:paraId="3088FD36" w14:textId="77777777" w:rsidR="006D7013" w:rsidRDefault="006D7013">
      <w:pPr>
        <w:pStyle w:val="ConsPlusNonformat"/>
        <w:jc w:val="both"/>
      </w:pPr>
      <w:proofErr w:type="gramStart"/>
      <w:r>
        <w:t>капитального  строительства</w:t>
      </w:r>
      <w:proofErr w:type="gramEnd"/>
      <w:r>
        <w:t xml:space="preserve"> не требуется в соответствии с Градостроительным</w:t>
      </w:r>
    </w:p>
    <w:p w14:paraId="1266BE70" w14:textId="77777777" w:rsidR="006D7013" w:rsidRDefault="006D7013">
      <w:pPr>
        <w:pStyle w:val="ConsPlusNonformat"/>
        <w:jc w:val="both"/>
      </w:pPr>
      <w:hyperlink r:id="rId37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14:paraId="0AA47C8C" w14:textId="77777777" w:rsidR="006D7013" w:rsidRDefault="006D7013">
      <w:pPr>
        <w:pStyle w:val="ConsPlusNormal"/>
        <w:ind w:firstLine="540"/>
        <w:jc w:val="both"/>
      </w:pPr>
      <w:r>
        <w:t>2. Контроль за выполнением настоящего постановления возложить на первого заместителя главы администрации города Пятигорска Марченко С.А.</w:t>
      </w:r>
    </w:p>
    <w:p w14:paraId="634AC0A1" w14:textId="77777777" w:rsidR="006D7013" w:rsidRDefault="006D7013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14:paraId="45CCBC0D" w14:textId="77777777" w:rsidR="006D7013" w:rsidRDefault="006D7013">
      <w:pPr>
        <w:pStyle w:val="ConsPlusNormal"/>
        <w:jc w:val="both"/>
      </w:pPr>
    </w:p>
    <w:p w14:paraId="5A571736" w14:textId="77777777" w:rsidR="006D7013" w:rsidRDefault="006D7013">
      <w:pPr>
        <w:pStyle w:val="ConsPlusNormal"/>
        <w:jc w:val="right"/>
      </w:pPr>
      <w:r>
        <w:t>Глава города Пятигорска</w:t>
      </w:r>
    </w:p>
    <w:p w14:paraId="5A226050" w14:textId="77777777" w:rsidR="006D7013" w:rsidRDefault="006D7013">
      <w:pPr>
        <w:pStyle w:val="ConsPlusNormal"/>
        <w:jc w:val="right"/>
      </w:pPr>
      <w:r>
        <w:t>Д.Ю.ВОРОШИЛОВ</w:t>
      </w:r>
    </w:p>
    <w:p w14:paraId="73D5B3E7" w14:textId="77777777" w:rsidR="006D7013" w:rsidRDefault="006D7013">
      <w:pPr>
        <w:pStyle w:val="ConsPlusNormal"/>
        <w:jc w:val="both"/>
      </w:pPr>
    </w:p>
    <w:p w14:paraId="686392C3" w14:textId="77777777" w:rsidR="006D7013" w:rsidRDefault="006D7013">
      <w:pPr>
        <w:pStyle w:val="ConsPlusNormal"/>
        <w:jc w:val="both"/>
      </w:pPr>
    </w:p>
    <w:p w14:paraId="4F0227C5" w14:textId="77777777" w:rsidR="006D7013" w:rsidRDefault="006D70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A89C914" w14:textId="77777777" w:rsidR="006D7013" w:rsidRDefault="006D7013"/>
    <w:sectPr w:rsidR="006D7013" w:rsidSect="0094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13"/>
    <w:rsid w:val="006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04EC"/>
  <w15:chartTrackingRefBased/>
  <w15:docId w15:val="{1091674E-FC89-4F55-8090-8470405D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0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70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70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70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0D32ECD682B7BE198891B53050CC6F1EE1C161B700E6DEDED0370E1FB5D0240308F32CB7135B64BF0FA77E47BB39E38965965BC963EDED7212C571P2n9M" TargetMode="External"/><Relationship Id="rId18" Type="http://schemas.openxmlformats.org/officeDocument/2006/relationships/hyperlink" Target="consultantplus://offline/ref=430D32ECD682B7BE198891B53050CC6F1EE1C161B700E6DEDED0370E1FB5D0240308F32CB7135B64BF0FAC7B44BB39E38965965BC963EDED7212C571P2n9M" TargetMode="External"/><Relationship Id="rId26" Type="http://schemas.openxmlformats.org/officeDocument/2006/relationships/hyperlink" Target="consultantplus://offline/ref=430D32ECD682B7BE198891B53050CC6F1EE1C161B700E6DEDED0370E1FB5D0240308F32CB7135B64BF0EA37D4EBB39E38965965BC963EDED7212C571P2n9M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30D32ECD682B7BE198891B53050CC6F1EE1C161B700E6DEDED0370E1FB5D0240308F32CB7135B64BF0EA7734EBB39E38965965BC963EDED7212C571P2n9M" TargetMode="External"/><Relationship Id="rId34" Type="http://schemas.openxmlformats.org/officeDocument/2006/relationships/hyperlink" Target="consultantplus://offline/ref=430D32ECD682B7BE198891B53050CC6F1EE1C161B700E6DEDED0370E1FB5D0240308F32CB7135B64BF0DA47945BB39E38965965BC963EDED7212C571P2n9M" TargetMode="External"/><Relationship Id="rId7" Type="http://schemas.openxmlformats.org/officeDocument/2006/relationships/hyperlink" Target="consultantplus://offline/ref=430D32ECD682B7BE19888FB8263C92651DE9996DB202E5818A81315940E5D6715148AD75F4564865B611A77B45PBn3M" TargetMode="External"/><Relationship Id="rId12" Type="http://schemas.openxmlformats.org/officeDocument/2006/relationships/hyperlink" Target="consultantplus://offline/ref=430D32ECD682B7BE19888FB8263C92651DEF9B6DBC04E5818A81315940E5D6715148AD75F4564865B611A77B45PBn3M" TargetMode="External"/><Relationship Id="rId17" Type="http://schemas.openxmlformats.org/officeDocument/2006/relationships/hyperlink" Target="consultantplus://offline/ref=430D32ECD682B7BE198891B53050CC6F1EE1C161B700E6DEDED0370E1FB5D0240308F32CB7135B64BF0FA27F4EBB39E38965965BC963EDED7212C571P2n9M" TargetMode="External"/><Relationship Id="rId25" Type="http://schemas.openxmlformats.org/officeDocument/2006/relationships/hyperlink" Target="consultantplus://offline/ref=430D32ECD682B7BE198891B53050CC6F1EE1C161B700E6DEDED0370E1FB5D0240308F32CB7135B64BF0EA37A4FBB39E38965965BC963EDED7212C571P2n9M" TargetMode="External"/><Relationship Id="rId33" Type="http://schemas.openxmlformats.org/officeDocument/2006/relationships/hyperlink" Target="consultantplus://offline/ref=430D32ECD682B7BE198891B53050CC6F1EE1C161B700E6DEDED0370E1FB5D0240308F32CB7135B64BF0DA57345BB39E38965965BC963EDED7212C571P2n9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0D32ECD682B7BE198891B53050CC6F1EE1C161B700E6DEDED0370E1FB5D0240308F32CB7135B64BF0FA07342BB39E38965965BC963EDED7212C571P2n9M" TargetMode="External"/><Relationship Id="rId20" Type="http://schemas.openxmlformats.org/officeDocument/2006/relationships/hyperlink" Target="consultantplus://offline/ref=430D32ECD682B7BE198891B53050CC6F1EE1C161B700E6DEDED0370E1FB5D0240308F32CB7135B64BF0EA47C44BB39E38965965BC963EDED7212C571P2n9M" TargetMode="External"/><Relationship Id="rId29" Type="http://schemas.openxmlformats.org/officeDocument/2006/relationships/hyperlink" Target="consultantplus://offline/ref=430D32ECD682B7BE198891B53050CC6F1EE1C161B700E6DEDED0370E1FB5D0240308F32CB7135B64BF0EAD7F4FBB39E38965965BC963EDED7212C571P2n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0D32ECD682B7BE19888FB8263C92651DEF9B6CB507E5818A81315940E5D6715148AD75F4564865B611A77B45PBn3M" TargetMode="External"/><Relationship Id="rId11" Type="http://schemas.openxmlformats.org/officeDocument/2006/relationships/hyperlink" Target="consultantplus://offline/ref=430D32ECD682B7BE19888FB8263C92651DEF9B6DBC04E5818A81315940E5D6715148AD75F4564865B611A77B45PBn3M" TargetMode="External"/><Relationship Id="rId24" Type="http://schemas.openxmlformats.org/officeDocument/2006/relationships/hyperlink" Target="consultantplus://offline/ref=430D32ECD682B7BE198891B53050CC6F1EE1C161B700E6DEDED0370E1FB5D0240308F32CB7135B64BF0EA07E4FBB39E38965965BC963EDED7212C571P2n9M" TargetMode="External"/><Relationship Id="rId32" Type="http://schemas.openxmlformats.org/officeDocument/2006/relationships/hyperlink" Target="consultantplus://offline/ref=430D32ECD682B7BE198891B53050CC6F1EE1C161B700E6DEDED0370E1FB5D0240308F32CB7135B64BF0DA57B4FBB39E38965965BC963EDED7212C571P2n9M" TargetMode="External"/><Relationship Id="rId37" Type="http://schemas.openxmlformats.org/officeDocument/2006/relationships/hyperlink" Target="consultantplus://offline/ref=430D32ECD682B7BE19888FB8263C92651DEF9B6DBC04E5818A81315940E5D6715148AD75F4564865B611A77B45PBn3M" TargetMode="External"/><Relationship Id="rId5" Type="http://schemas.openxmlformats.org/officeDocument/2006/relationships/hyperlink" Target="consultantplus://offline/ref=430D32ECD682B7BE19888FB8263C92651DEF9B6DBC04E5818A81315940E5D6715148AD75F4564865B611A77B45PBn3M" TargetMode="External"/><Relationship Id="rId15" Type="http://schemas.openxmlformats.org/officeDocument/2006/relationships/hyperlink" Target="consultantplus://offline/ref=430D32ECD682B7BE198891B53050CC6F1EE1C161B700E6DEDED0370E1FB5D0240308F32CB7135B64BF0FA17944BB39E38965965BC963EDED7212C571P2n9M" TargetMode="External"/><Relationship Id="rId23" Type="http://schemas.openxmlformats.org/officeDocument/2006/relationships/hyperlink" Target="consultantplus://offline/ref=430D32ECD682B7BE198891B53050CC6F1EE1C161B700E6DEDED0370E1FB5D0240308F32CB7135B64BF0EA17F4FBB39E38965965BC963EDED7212C571P2n9M" TargetMode="External"/><Relationship Id="rId28" Type="http://schemas.openxmlformats.org/officeDocument/2006/relationships/hyperlink" Target="consultantplus://offline/ref=430D32ECD682B7BE198891B53050CC6F1EE1C161B700E6DEDED0370E1FB5D0240308F32CB7135B64BF0EAD7B4FBB39E38965965BC963EDED7212C571P2n9M" TargetMode="External"/><Relationship Id="rId36" Type="http://schemas.openxmlformats.org/officeDocument/2006/relationships/hyperlink" Target="consultantplus://offline/ref=430D32ECD682B7BE198891B53050CC6F1EE1C161B700E6DEDED0370E1FB5D0240308F32CB7135B64BF0FA77E47BB39E38965965BC963EDED7212C571P2n9M" TargetMode="External"/><Relationship Id="rId10" Type="http://schemas.openxmlformats.org/officeDocument/2006/relationships/hyperlink" Target="consultantplus://offline/ref=430D32ECD682B7BE198891B53050CC6F1EE1C161B700E6DEDED0370E1FB5D0240308F32CB7135B64BF0FA47C41BB39E38965965BC963EDED7212C571P2n9M" TargetMode="External"/><Relationship Id="rId19" Type="http://schemas.openxmlformats.org/officeDocument/2006/relationships/hyperlink" Target="consultantplus://offline/ref=430D32ECD682B7BE198891B53050CC6F1EE1C161B700E6DEDED0370E1FB5D0240308F32CB7135B64BF0EA57E44BB39E38965965BC963EDED7212C571P2n9M" TargetMode="External"/><Relationship Id="rId31" Type="http://schemas.openxmlformats.org/officeDocument/2006/relationships/hyperlink" Target="consultantplus://offline/ref=430D32ECD682B7BE198891B53050CC6F1EE1C161B700E6DEDED0370E1FB5D0240308F32CB7135B64BF0EAC7E46BB39E38965965BC963EDED7212C571P2n9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30D32ECD682B7BE198891B53050CC6F1EE1C161B700E6DEDED0370E1FB5D0240308F32CB7135B64BF0FA57A46BB39E38965965BC963EDED7212C571P2n9M" TargetMode="External"/><Relationship Id="rId14" Type="http://schemas.openxmlformats.org/officeDocument/2006/relationships/hyperlink" Target="consultantplus://offline/ref=430D32ECD682B7BE198891B53050CC6F1EE1C161B700E6DEDED0370E1FB5D0240308F32CB7135B64BF0FA77E44BB39E38965965BC963EDED7212C571P2n9M" TargetMode="External"/><Relationship Id="rId22" Type="http://schemas.openxmlformats.org/officeDocument/2006/relationships/hyperlink" Target="consultantplus://offline/ref=430D32ECD682B7BE198891B53050CC6F1EE1C161B700E6DEDED0370E1FB5D0240308F32CB7135B64BF0EA67940BB39E38965965BC963EDED7212C571P2n9M" TargetMode="External"/><Relationship Id="rId27" Type="http://schemas.openxmlformats.org/officeDocument/2006/relationships/hyperlink" Target="consultantplus://offline/ref=430D32ECD682B7BE198891B53050CC6F1EE1C161B700E6DEDED0370E1FB5D0240308F32CB7135B64BF0EA27843BB39E38965965BC963EDED7212C571P2n9M" TargetMode="External"/><Relationship Id="rId30" Type="http://schemas.openxmlformats.org/officeDocument/2006/relationships/hyperlink" Target="consultantplus://offline/ref=430D32ECD682B7BE198891B53050CC6F1EE1C161B700E6DEDED0370E1FB5D0240308F32CB7135B64BF0EAC7A46BB39E38965965BC963EDED7212C571P2n9M" TargetMode="External"/><Relationship Id="rId35" Type="http://schemas.openxmlformats.org/officeDocument/2006/relationships/hyperlink" Target="consultantplus://offline/ref=430D32ECD682B7BE198891B53050CC6F1EE1C161B700E6DEDED0370E1FB5D0240308F32CB7135B64BF0CA77245BB39E38965965BC963EDED7212C571P2n9M" TargetMode="External"/><Relationship Id="rId8" Type="http://schemas.openxmlformats.org/officeDocument/2006/relationships/hyperlink" Target="consultantplus://offline/ref=430D32ECD682B7BE198891B53050CC6F1EE1C161B409E7DFD6DC370E1FB5D0240308F32CA5130368BF0EBB7B4EAE6FB2CFP3n3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1746</Words>
  <Characters>9955</Characters>
  <Application>Microsoft Office Word</Application>
  <DocSecurity>0</DocSecurity>
  <Lines>82</Lines>
  <Paragraphs>23</Paragraphs>
  <ScaleCrop>false</ScaleCrop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</cp:revision>
  <dcterms:created xsi:type="dcterms:W3CDTF">2023-09-01T12:39:00Z</dcterms:created>
  <dcterms:modified xsi:type="dcterms:W3CDTF">2023-09-01T12:39:00Z</dcterms:modified>
</cp:coreProperties>
</file>